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4244A322" w14:textId="77777777" w:rsidR="00F452F3" w:rsidRPr="009F0F3E" w:rsidRDefault="00D521B3">
      <w:pPr>
        <w:rPr>
          <w:sz w:val="16"/>
          <w:szCs w:val="16"/>
        </w:rPr>
      </w:pPr>
      <w:r w:rsidRPr="009F0F3E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44A3A8" wp14:editId="4244A3A9">
                <wp:simplePos x="0" y="0"/>
                <wp:positionH relativeFrom="column">
                  <wp:posOffset>-570016</wp:posOffset>
                </wp:positionH>
                <wp:positionV relativeFrom="paragraph">
                  <wp:posOffset>-676893</wp:posOffset>
                </wp:positionV>
                <wp:extent cx="10022601" cy="890650"/>
                <wp:effectExtent l="0" t="0" r="17145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2601" cy="8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A3AA" w14:textId="5B5BE283" w:rsidR="00D521B3" w:rsidRPr="00D521B3" w:rsidRDefault="00D521B3" w:rsidP="00D521B3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D521B3">
                              <w:rPr>
                                <w:rFonts w:ascii="Arial" w:hAnsi="Arial" w:cs="Arial"/>
                                <w:sz w:val="36"/>
                              </w:rPr>
                              <w:t>Literac</w:t>
                            </w:r>
                            <w:r w:rsidR="001F3F59">
                              <w:rPr>
                                <w:rFonts w:ascii="Arial" w:hAnsi="Arial" w:cs="Arial"/>
                                <w:sz w:val="36"/>
                              </w:rPr>
                              <w:t>y Basic Skills Overview - Year 4</w:t>
                            </w:r>
                          </w:p>
                          <w:p w14:paraId="4244A3AB" w14:textId="73022067" w:rsidR="00D521B3" w:rsidRPr="00A2005B" w:rsidRDefault="00A2005B" w:rsidP="00A2005B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This document highlights the essential skills that need </w:t>
                            </w:r>
                            <w:r w:rsidR="001F3F5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to be securely learned in Year 4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to enable pupils to build on this knowledge and make progression 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in </w:t>
                            </w:r>
                            <w:r w:rsidR="001F3F5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Year 5. It is not the Year 4</w:t>
                            </w:r>
                            <w:r w:rsidR="00F31238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assessment framework. To ensure there are no gap</w:t>
                            </w:r>
                            <w:r w:rsidR="001F3F5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s in children’s learning, Year 5</w:t>
                            </w:r>
                            <w:r w:rsidR="00CC6DF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teachers should use this document at the start of the academic year to analyse pupils ‘work. Teachers should focus on the objectives highlighted in yellow to determine whether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children are secure in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these basic skills, or whether consolidation is need</w:t>
                            </w:r>
                            <w:r w:rsidR="001F3F59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ed before moving onto the Year 5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 xml:space="preserve"> </w:t>
                            </w:r>
                            <w:r w:rsidRPr="00A2005B"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curriculum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shd w:val="clear" w:color="auto" w:fill="FAF9F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44A3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4.9pt;margin-top:-53.3pt;width:789.2pt;height:7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">
                <v:textbox>
                  <w:txbxContent>
                    <w:p w14:paraId="4244A3AA" w14:textId="5B5BE283" w:rsidR="00D521B3" w:rsidRPr="00D521B3" w:rsidRDefault="00D521B3" w:rsidP="00D521B3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D521B3">
                        <w:rPr>
                          <w:rFonts w:ascii="Arial" w:hAnsi="Arial" w:cs="Arial"/>
                          <w:sz w:val="36"/>
                        </w:rPr>
                        <w:t>Literac</w:t>
                      </w:r>
                      <w:r w:rsidR="001F3F59">
                        <w:rPr>
                          <w:rFonts w:ascii="Arial" w:hAnsi="Arial" w:cs="Arial"/>
                          <w:sz w:val="36"/>
                        </w:rPr>
                        <w:t>y Basic Skills Overview - Year 4</w:t>
                      </w:r>
                    </w:p>
                    <w:p w14:paraId="4244A3AB" w14:textId="73022067" w:rsidR="00D521B3" w:rsidRPr="00A2005B" w:rsidRDefault="00A2005B" w:rsidP="00A2005B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This document highlights the essential skills that need </w:t>
                      </w:r>
                      <w:r w:rsidR="001F3F5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to be securely learned in Year 4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to enable pupils to build on this knowledge and make progression 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in </w:t>
                      </w:r>
                      <w:r w:rsidR="001F3F5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Year 5. It is not the Year 4</w:t>
                      </w:r>
                      <w:r w:rsidR="00F31238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assessment framework. To ensure there are no gap</w:t>
                      </w:r>
                      <w:r w:rsidR="001F3F5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s in children’s learning, Year 5</w:t>
                      </w:r>
                      <w:r w:rsidR="00CC6DF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teachers should use this document at the start of the academic year to analyse pupils ‘work. Teachers should focus on the objectives highlighted in yellow to determine whether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children are secure in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these basic skills, or whether consolidation is need</w:t>
                      </w:r>
                      <w:r w:rsidR="001F3F59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ed before moving onto the Year 5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 xml:space="preserve"> </w:t>
                      </w:r>
                      <w:r w:rsidRPr="00A2005B"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curriculum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shd w:val="clear" w:color="auto" w:fill="FAF9F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horzAnchor="page" w:tblpX="541" w:tblpY="495"/>
        <w:tblW w:w="15760" w:type="dxa"/>
        <w:tblLook w:val="04A0" w:firstRow="1" w:lastRow="0" w:firstColumn="1" w:lastColumn="0" w:noHBand="0" w:noVBand="1"/>
      </w:tblPr>
      <w:tblGrid>
        <w:gridCol w:w="5098"/>
        <w:gridCol w:w="4820"/>
        <w:gridCol w:w="5842"/>
      </w:tblGrid>
      <w:tr w:rsidR="00A2005B" w:rsidRPr="009F0F3E" w14:paraId="5464A733" w14:textId="77777777" w:rsidTr="007B0D15">
        <w:trPr>
          <w:trHeight w:val="274"/>
        </w:trPr>
        <w:tc>
          <w:tcPr>
            <w:tcW w:w="5098" w:type="dxa"/>
            <w:shd w:val="clear" w:color="auto" w:fill="FF0000"/>
          </w:tcPr>
          <w:p w14:paraId="0C2508C2" w14:textId="594FC688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Composition</w:t>
            </w:r>
          </w:p>
        </w:tc>
        <w:tc>
          <w:tcPr>
            <w:tcW w:w="4820" w:type="dxa"/>
            <w:shd w:val="clear" w:color="auto" w:fill="FF0000"/>
          </w:tcPr>
          <w:p w14:paraId="03CDACC2" w14:textId="6D9D0746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Transcription</w:t>
            </w:r>
          </w:p>
        </w:tc>
        <w:tc>
          <w:tcPr>
            <w:tcW w:w="5842" w:type="dxa"/>
            <w:shd w:val="clear" w:color="auto" w:fill="FF0000"/>
          </w:tcPr>
          <w:p w14:paraId="04693D63" w14:textId="1164EA80" w:rsidR="00A2005B" w:rsidRPr="00367EF6" w:rsidRDefault="00A2005B" w:rsidP="00A2005B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367EF6">
              <w:rPr>
                <w:rFonts w:ascii="Arial" w:hAnsi="Arial" w:cs="Arial"/>
                <w:b/>
                <w:szCs w:val="16"/>
              </w:rPr>
              <w:t>Writing – Vocabulary, Grammar and Punctuation</w:t>
            </w:r>
          </w:p>
        </w:tc>
      </w:tr>
      <w:tr w:rsidR="00F31238" w:rsidRPr="009F0F3E" w14:paraId="46B7429A" w14:textId="77777777" w:rsidTr="007B0D15">
        <w:trPr>
          <w:trHeight w:val="3876"/>
        </w:trPr>
        <w:tc>
          <w:tcPr>
            <w:tcW w:w="5098" w:type="dxa"/>
          </w:tcPr>
          <w:p w14:paraId="02C1403A" w14:textId="137053C9" w:rsidR="009F0EA5" w:rsidRDefault="009F0EA5" w:rsidP="009F0EA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9F0EA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Planning:</w:t>
            </w:r>
          </w:p>
          <w:p w14:paraId="46CB7664" w14:textId="77777777" w:rsidR="009F0EA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Discuss writing similar to that which they are planning to write in order to understand and learn from its structure, vocabulary and grammar.</w:t>
            </w:r>
          </w:p>
          <w:p w14:paraId="38BC951D" w14:textId="77777777" w:rsidR="009F0EA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Compose and rehearse sentences orally (including dialogue), progressively building a varied and rich vocabulary and an increasing range of sentence structures.</w:t>
            </w:r>
          </w:p>
          <w:p w14:paraId="6EB5DD19" w14:textId="77777777" w:rsidR="009F0EA5" w:rsidRDefault="009F0EA5" w:rsidP="007B0D15">
            <w:pPr>
              <w:spacing w:after="0"/>
              <w:ind w:left="45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1154B123" w14:textId="77777777" w:rsidR="007B0D15" w:rsidRPr="007B0D15" w:rsidRDefault="009F0EA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Drafting and Writing:</w:t>
            </w:r>
          </w:p>
          <w:p w14:paraId="4CD0165E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Write effectively and coherently for different purposes and audiences, selecting the appropriate organisational features.</w:t>
            </w:r>
          </w:p>
          <w:p w14:paraId="2F7D8680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Create developed settings, characters and plot in narratives. </w:t>
            </w:r>
          </w:p>
          <w:p w14:paraId="59F84632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Use appropriate organisational devices in non-narrative material [for example, headings and sub-headings]. </w:t>
            </w:r>
          </w:p>
          <w:p w14:paraId="1F4C0F7A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Organise</w:t>
            </w: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 paragraphs around a theme consistently.</w:t>
            </w:r>
          </w:p>
          <w:p w14:paraId="2C75EBE9" w14:textId="77777777" w:rsidR="007B0D15" w:rsidRDefault="007B0D15" w:rsidP="007B0D15">
            <w:pPr>
              <w:spacing w:after="0"/>
              <w:ind w:left="45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70384CB" w14:textId="77777777" w:rsidR="007B0D15" w:rsidRPr="007B0D15" w:rsidRDefault="007B0D1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Editing and Improving</w:t>
            </w:r>
            <w:r w:rsidR="009F0EA5"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:</w:t>
            </w:r>
          </w:p>
          <w:p w14:paraId="656A41A2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Assess the effectiveness of their own and others' writing and suggest improvements.</w:t>
            </w:r>
          </w:p>
          <w:p w14:paraId="0D26F175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Propose changes to grammar and vocabulary to improve consistency, including the accurate use of pronouns in sentences.</w:t>
            </w:r>
          </w:p>
          <w:p w14:paraId="54FFD063" w14:textId="77777777" w:rsidR="007B0D15" w:rsidRDefault="007B0D15" w:rsidP="007B0D15">
            <w:pPr>
              <w:spacing w:after="0"/>
              <w:ind w:left="45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D2AEAA4" w14:textId="77777777" w:rsidR="007B0D15" w:rsidRPr="007B0D15" w:rsidRDefault="009F0EA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Proofreading:</w:t>
            </w:r>
          </w:p>
          <w:p w14:paraId="346F3E1F" w14:textId="52787137" w:rsidR="00F31238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454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Proof-read consistently for spelling and punctuation errors.</w:t>
            </w:r>
          </w:p>
        </w:tc>
        <w:tc>
          <w:tcPr>
            <w:tcW w:w="4820" w:type="dxa"/>
          </w:tcPr>
          <w:p w14:paraId="0B3140C6" w14:textId="77777777" w:rsidR="007B0D15" w:rsidRDefault="009F0EA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Spelling</w:t>
            </w:r>
            <w:proofErr w:type="gramStart"/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:</w:t>
            </w: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  <w:proofErr w:type="gramEnd"/>
          </w:p>
          <w:p w14:paraId="2B2CB772" w14:textId="77777777" w:rsidR="007B0D15" w:rsidRDefault="007B0D1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540C864F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Revision from Year 3.</w:t>
            </w:r>
          </w:p>
          <w:p w14:paraId="02D847A1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Year 4 spelling rules and guidance.</w:t>
            </w:r>
          </w:p>
          <w:p w14:paraId="29BEB8AD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Spell common exception words, contracted forms and words following Year 1 and 2 spelling rules mostly correctly.</w:t>
            </w:r>
          </w:p>
          <w:p w14:paraId="0FA9B48A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Spell some words correctly (Year 3 and 4 list).</w:t>
            </w:r>
          </w:p>
          <w:p w14:paraId="71D838E3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 xml:space="preserve">Use further prefixes and suffixes and understand how to add them (English Appendix 1). </w:t>
            </w:r>
          </w:p>
          <w:p w14:paraId="7DB34A5C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Spell further homophones and spell words that are often misspelt (English Appendix 1).</w:t>
            </w:r>
          </w:p>
          <w:p w14:paraId="350594E3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The grammatical difference between plural and possessive –s.</w:t>
            </w:r>
          </w:p>
          <w:p w14:paraId="1B314217" w14:textId="77777777" w:rsidR="007B0D15" w:rsidRDefault="007B0D15" w:rsidP="007B0D15">
            <w:pPr>
              <w:spacing w:after="0"/>
              <w:ind w:left="318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4B259D98" w14:textId="77777777" w:rsidR="007B0D15" w:rsidRPr="007B0D15" w:rsidRDefault="009F0EA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Handwriting and Presentation:</w:t>
            </w:r>
          </w:p>
          <w:p w14:paraId="290A369D" w14:textId="77777777" w:rsidR="007B0D15" w:rsidRDefault="007B0D15" w:rsidP="007B0D15">
            <w:pPr>
              <w:spacing w:after="0"/>
              <w:ind w:left="318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69E6B049" w14:textId="77777777" w:rsidR="007B0D15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Use the diagonal and horizontal strokes that are needed to join letters and understand which letters, when adjacent to one another, are best left un-joined. </w:t>
            </w:r>
          </w:p>
          <w:p w14:paraId="2AAF0900" w14:textId="5205E0DF" w:rsidR="00F31238" w:rsidRPr="007B0D15" w:rsidRDefault="009F0EA5" w:rsidP="007B0D15">
            <w:pPr>
              <w:pStyle w:val="ListParagraph"/>
              <w:numPr>
                <w:ilvl w:val="0"/>
                <w:numId w:val="16"/>
              </w:numPr>
              <w:spacing w:after="0"/>
              <w:ind w:left="318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Increase the legibility, consistency and quality of their handwriting.</w:t>
            </w:r>
          </w:p>
        </w:tc>
        <w:tc>
          <w:tcPr>
            <w:tcW w:w="5842" w:type="dxa"/>
          </w:tcPr>
          <w:p w14:paraId="7C88956D" w14:textId="77777777" w:rsidR="007B0D15" w:rsidRDefault="009F0EA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Grammatical knowledge:</w:t>
            </w:r>
          </w:p>
          <w:p w14:paraId="18D77AFA" w14:textId="77777777" w:rsidR="007B0D15" w:rsidRDefault="007B0D15" w:rsidP="007B0D15">
            <w:p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0C74CE46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Use a range of conjunctions for coordination </w:t>
            </w: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and subordination.</w:t>
            </w:r>
          </w:p>
          <w:p w14:paraId="0A3D0811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present, past, progressive and perfect tense verb forms mostly correctly and consistently.</w:t>
            </w:r>
          </w:p>
          <w:p w14:paraId="57DB6F8A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Standard English forms for verb inflections instead of local spoken forms [for </w:t>
            </w:r>
            <w:proofErr w:type="spellStart"/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example</w:t>
            </w:r>
            <w:proofErr w:type="gramStart"/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,we</w:t>
            </w:r>
            <w:proofErr w:type="spellEnd"/>
            <w:proofErr w:type="gramEnd"/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 were instead of we was, or I did instead of I done].</w:t>
            </w:r>
          </w:p>
          <w:p w14:paraId="02A04612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Demarcate most sentences with: capital letters and full stops; question marks; exclamation marks and commas in lists (where appropriate).</w:t>
            </w:r>
          </w:p>
          <w:p w14:paraId="2DE8C368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Some use of contracted forms.</w:t>
            </w:r>
          </w:p>
          <w:p w14:paraId="035886D9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Noun phrases expanded by the addition of modifying adjectives, nouns and preposition phrases (e.g. the teacher expanded to: the strict maths teacher with curly hair).</w:t>
            </w:r>
          </w:p>
          <w:p w14:paraId="676CA390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Fronted adverbials [for example, Later that day, I heard the bad news.]</w:t>
            </w:r>
          </w:p>
          <w:p w14:paraId="0916CCBE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of commas after fronted adverbials.</w:t>
            </w:r>
          </w:p>
          <w:p w14:paraId="0E7A41AE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of</w:t>
            </w:r>
            <w:r w:rsidR="007B0D15"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 </w:t>
            </w: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paragraphs to organise ideas around a theme.</w:t>
            </w:r>
          </w:p>
          <w:p w14:paraId="105931C2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Appropriate choice of pronoun or noun within and across sentences to aid cohesion and avoid repetition.</w:t>
            </w:r>
          </w:p>
          <w:p w14:paraId="76585843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Use of inverted commas and other punctuation to indicate direct speech [for example, a comma after the reporting clause; end punctuation within inverted commas: The conductor shouted, “Sit down!”].</w:t>
            </w:r>
          </w:p>
          <w:p w14:paraId="29B6273A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Apostrophes to mark plural possession [for example, the girl’s name, the girls’ names].</w:t>
            </w:r>
          </w:p>
          <w:p w14:paraId="78235F41" w14:textId="77777777" w:rsidR="007B0D15" w:rsidRDefault="007B0D15" w:rsidP="007B0D15">
            <w:p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22181E43" w14:textId="77777777" w:rsidR="007B0D15" w:rsidRPr="007B0D15" w:rsidRDefault="009F0EA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Grammatical terminology</w:t>
            </w: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:</w:t>
            </w:r>
          </w:p>
          <w:p w14:paraId="1D3EA28E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color w:val="auto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color w:val="auto"/>
                <w:sz w:val="16"/>
                <w:szCs w:val="16"/>
                <w:highlight w:val="yellow"/>
                <w:shd w:val="clear" w:color="auto" w:fill="FAF9F8"/>
              </w:rPr>
              <w:t xml:space="preserve">Determiner </w:t>
            </w:r>
          </w:p>
          <w:p w14:paraId="773D21C7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color w:val="auto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color w:val="auto"/>
                <w:sz w:val="16"/>
                <w:szCs w:val="16"/>
                <w:highlight w:val="yellow"/>
                <w:shd w:val="clear" w:color="auto" w:fill="FAF9F8"/>
              </w:rPr>
              <w:t>Pronoun</w:t>
            </w:r>
          </w:p>
          <w:p w14:paraId="403A4613" w14:textId="77777777" w:rsidR="007B0D15" w:rsidRPr="007B0D15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Possessive pronoun</w:t>
            </w:r>
          </w:p>
          <w:p w14:paraId="76ACC2A5" w14:textId="77777777" w:rsidR="0097337A" w:rsidRDefault="009F0EA5" w:rsidP="007B0D15">
            <w:pPr>
              <w:pStyle w:val="ListParagraph"/>
              <w:numPr>
                <w:ilvl w:val="0"/>
                <w:numId w:val="17"/>
              </w:numPr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Adverbial</w:t>
            </w:r>
          </w:p>
          <w:p w14:paraId="5CB42CB9" w14:textId="77777777" w:rsidR="007B0D15" w:rsidRDefault="007B0D15" w:rsidP="007B0D15">
            <w:pPr>
              <w:pStyle w:val="ListParagraph"/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0724ADEC" w14:textId="77777777" w:rsidR="007B0D15" w:rsidRDefault="007B0D15" w:rsidP="007B0D15">
            <w:pPr>
              <w:pStyle w:val="ListParagraph"/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17F90165" w14:textId="169F0B64" w:rsidR="007B0D15" w:rsidRPr="007B0D15" w:rsidRDefault="007B0D15" w:rsidP="007B0D15">
            <w:pPr>
              <w:pStyle w:val="ListParagraph"/>
              <w:spacing w:after="0"/>
              <w:ind w:left="317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</w:tc>
      </w:tr>
    </w:tbl>
    <w:p w14:paraId="4244A3A7" w14:textId="77777777" w:rsidR="00D521B3" w:rsidRDefault="00D521B3">
      <w:pPr>
        <w:rPr>
          <w:sz w:val="16"/>
          <w:szCs w:val="16"/>
        </w:rPr>
      </w:pPr>
    </w:p>
    <w:p w14:paraId="78A960DF" w14:textId="77777777" w:rsidR="00791A85" w:rsidRDefault="00791A85">
      <w:pPr>
        <w:rPr>
          <w:sz w:val="16"/>
          <w:szCs w:val="16"/>
        </w:rPr>
      </w:pPr>
    </w:p>
    <w:tbl>
      <w:tblPr>
        <w:tblStyle w:val="TableGrid"/>
        <w:tblW w:w="15877" w:type="dxa"/>
        <w:tblInd w:w="-998" w:type="dxa"/>
        <w:tblLook w:val="04A0" w:firstRow="1" w:lastRow="0" w:firstColumn="1" w:lastColumn="0" w:noHBand="0" w:noVBand="1"/>
      </w:tblPr>
      <w:tblGrid>
        <w:gridCol w:w="4679"/>
        <w:gridCol w:w="5386"/>
        <w:gridCol w:w="5812"/>
      </w:tblGrid>
      <w:tr w:rsidR="00791A85" w14:paraId="69798A01" w14:textId="77777777" w:rsidTr="007B0D15">
        <w:tc>
          <w:tcPr>
            <w:tcW w:w="4679" w:type="dxa"/>
            <w:shd w:val="clear" w:color="auto" w:fill="FF0000"/>
          </w:tcPr>
          <w:p w14:paraId="12C1EE85" w14:textId="5CA25B7A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lastRenderedPageBreak/>
              <w:t>Reading – Word Reading</w:t>
            </w:r>
          </w:p>
        </w:tc>
        <w:tc>
          <w:tcPr>
            <w:tcW w:w="5386" w:type="dxa"/>
            <w:shd w:val="clear" w:color="auto" w:fill="FF0000"/>
          </w:tcPr>
          <w:p w14:paraId="34E80D01" w14:textId="324970DA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t>Reading – Comprehension</w:t>
            </w:r>
          </w:p>
        </w:tc>
        <w:tc>
          <w:tcPr>
            <w:tcW w:w="5812" w:type="dxa"/>
            <w:shd w:val="clear" w:color="auto" w:fill="FF0000"/>
          </w:tcPr>
          <w:p w14:paraId="4547AB0A" w14:textId="121508D0" w:rsidR="00791A85" w:rsidRPr="00791A85" w:rsidRDefault="00791A85" w:rsidP="00791A85">
            <w:pPr>
              <w:jc w:val="center"/>
              <w:rPr>
                <w:rFonts w:ascii="Arial" w:hAnsi="Arial" w:cs="Arial"/>
                <w:b/>
                <w:color w:val="auto"/>
                <w:highlight w:val="yellow"/>
              </w:rPr>
            </w:pPr>
            <w:r w:rsidRPr="00791A85">
              <w:rPr>
                <w:rFonts w:ascii="Arial" w:hAnsi="Arial" w:cs="Arial"/>
                <w:b/>
                <w:color w:val="auto"/>
              </w:rPr>
              <w:t>Spoken Language</w:t>
            </w:r>
          </w:p>
        </w:tc>
      </w:tr>
      <w:tr w:rsidR="00791A85" w14:paraId="4EA014B3" w14:textId="77777777" w:rsidTr="007B0D15">
        <w:tc>
          <w:tcPr>
            <w:tcW w:w="4679" w:type="dxa"/>
          </w:tcPr>
          <w:p w14:paraId="6C7B6002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most words easily.</w:t>
            </w:r>
          </w:p>
          <w:p w14:paraId="2C1C5EC0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Automatically decode new words.</w:t>
            </w:r>
          </w:p>
          <w:p w14:paraId="7D8DCB53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further exception words.</w:t>
            </w:r>
          </w:p>
          <w:p w14:paraId="76B02D5D" w14:textId="43BE1A13" w:rsidR="00791A8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Use knowledge of root words, prefixes and suffixes to read and understand new words</w:t>
            </w:r>
          </w:p>
        </w:tc>
        <w:tc>
          <w:tcPr>
            <w:tcW w:w="5386" w:type="dxa"/>
          </w:tcPr>
          <w:p w14:paraId="49AF2B55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Listen to and talk about a wide range of fiction, plays, poetry, non-fiction and reference books.</w:t>
            </w:r>
          </w:p>
          <w:p w14:paraId="19D3B1A6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Read books that are structured in different ways and written for different purposes.</w:t>
            </w:r>
          </w:p>
          <w:p w14:paraId="7273DA9C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Use a dictionary to check the meaning of words</w:t>
            </w:r>
          </w:p>
          <w:p w14:paraId="56100514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Retell a wider range of books, e.g. myths and legends.</w:t>
            </w:r>
          </w:p>
          <w:p w14:paraId="13D40665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Identify themes and conventions in a wide range of different books.</w:t>
            </w:r>
          </w:p>
          <w:p w14:paraId="3B0EFF0A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Read aloud and perform poems and play-scripts using intonation, tone, volume and action.</w:t>
            </w:r>
          </w:p>
          <w:p w14:paraId="63DCEADC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Discuss words and phrases that capture the reader’s interest and imagination.</w:t>
            </w:r>
          </w:p>
          <w:p w14:paraId="5EF3B28B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Recognise some different forms of poetry.</w:t>
            </w:r>
          </w:p>
          <w:p w14:paraId="2857EAF2" w14:textId="77777777" w:rsidR="007B0D15" w:rsidRDefault="007B0D15" w:rsidP="007B0D15">
            <w:p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  <w:p w14:paraId="70B9250D" w14:textId="77777777" w:rsidR="007B0D15" w:rsidRPr="007B0D15" w:rsidRDefault="007B0D15" w:rsidP="007B0D15">
            <w:pPr>
              <w:spacing w:after="0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b/>
                <w:sz w:val="16"/>
                <w:szCs w:val="16"/>
                <w:shd w:val="clear" w:color="auto" w:fill="FAF9F8"/>
              </w:rPr>
              <w:t>Understand what is read by:</w:t>
            </w:r>
          </w:p>
          <w:p w14:paraId="0FD5ECBE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Checking the text makes sense and discussing understanding.</w:t>
            </w:r>
          </w:p>
          <w:p w14:paraId="697594BE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Explaining the meaning of words in context.</w:t>
            </w:r>
          </w:p>
          <w:p w14:paraId="0C41053D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Asking questions to help understand the text.</w:t>
            </w:r>
          </w:p>
          <w:p w14:paraId="499BC9BC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Making inferences about character’s feelings, thoughts and actions. Justifying inferences with evidence.</w:t>
            </w:r>
          </w:p>
          <w:p w14:paraId="04197882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Predicting what might happen using the text.</w:t>
            </w:r>
          </w:p>
          <w:p w14:paraId="6FD995EF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Identifying the ideas in a text and summarising them.</w:t>
            </w:r>
          </w:p>
          <w:p w14:paraId="065F2ADF" w14:textId="77777777" w:rsidR="007B0D15" w:rsidRPr="007B0D1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Identifying how language, structure and presentation help the meaning of a text.</w:t>
            </w:r>
          </w:p>
          <w:p w14:paraId="6F7B9494" w14:textId="77777777" w:rsidR="007B0D15" w:rsidRPr="00691BC9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Retrieving and recording information from non-fiction texts.</w:t>
            </w:r>
          </w:p>
          <w:p w14:paraId="32204F94" w14:textId="77777777" w:rsidR="00791A85" w:rsidRDefault="007B0D15" w:rsidP="007B0D15">
            <w:pPr>
              <w:pStyle w:val="ListParagraph"/>
              <w:numPr>
                <w:ilvl w:val="0"/>
                <w:numId w:val="19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Participating in discussions about books, taking turns and listening to other people’s opinions.</w:t>
            </w:r>
          </w:p>
          <w:p w14:paraId="5FC9434B" w14:textId="4FD03DDB" w:rsidR="00691BC9" w:rsidRPr="00691BC9" w:rsidRDefault="00691BC9" w:rsidP="00691BC9">
            <w:pPr>
              <w:spacing w:after="0"/>
              <w:ind w:left="9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</w:p>
        </w:tc>
        <w:tc>
          <w:tcPr>
            <w:tcW w:w="5812" w:type="dxa"/>
          </w:tcPr>
          <w:p w14:paraId="7C90C848" w14:textId="77777777" w:rsidR="007B0D15" w:rsidRPr="00691BC9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Listen and respond appropriately to adults and their peers.</w:t>
            </w:r>
          </w:p>
          <w:p w14:paraId="24C37D14" w14:textId="77777777" w:rsidR="007B0D15" w:rsidRPr="007B0D15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Ask relevant questions to extend their understanding and knowledge</w:t>
            </w: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.</w:t>
            </w:r>
          </w:p>
          <w:p w14:paraId="4184B939" w14:textId="77777777" w:rsidR="007B0D15" w:rsidRPr="007B0D15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Use relevant strategies to build their vocabulary</w:t>
            </w:r>
          </w:p>
          <w:p w14:paraId="65299988" w14:textId="77777777" w:rsidR="007B0D15" w:rsidRPr="007B0D15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Articulate and justify answers, arguments and opinions.</w:t>
            </w:r>
          </w:p>
          <w:p w14:paraId="6A031CF7" w14:textId="77777777" w:rsidR="007B0D15" w:rsidRPr="007B0D15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Give well-structured descriptions, explanations and narratives for different purposes, including for expressing feelings.</w:t>
            </w:r>
          </w:p>
          <w:p w14:paraId="2BCE9494" w14:textId="77777777" w:rsidR="007B0D15" w:rsidRPr="00691BC9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Maintain attention and participate actively in collaborative conversations, staying </w:t>
            </w:r>
            <w:proofErr w:type="spellStart"/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ontopic</w:t>
            </w:r>
            <w:proofErr w:type="spellEnd"/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 and initiating and responding to comments</w:t>
            </w:r>
          </w:p>
          <w:p w14:paraId="171D5E75" w14:textId="77777777" w:rsidR="007B0D15" w:rsidRPr="00691BC9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Use spoken language to develop understanding through speculating, </w:t>
            </w:r>
            <w:proofErr w:type="spellStart"/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hypothesising</w:t>
            </w:r>
            <w:proofErr w:type="gramStart"/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,imagining</w:t>
            </w:r>
            <w:proofErr w:type="spellEnd"/>
            <w:proofErr w:type="gramEnd"/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 xml:space="preserve"> and exploring ideas.</w:t>
            </w:r>
          </w:p>
          <w:p w14:paraId="7ED67623" w14:textId="77777777" w:rsidR="007B0D15" w:rsidRPr="00691BC9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Speak audibly and fluently with an increasing command of Standard English.</w:t>
            </w:r>
          </w:p>
          <w:p w14:paraId="72159A70" w14:textId="77777777" w:rsidR="007B0D15" w:rsidRPr="00691BC9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Participate in discussions, presentations, performances, role play, improvisations and debates.</w:t>
            </w:r>
          </w:p>
          <w:p w14:paraId="1E877795" w14:textId="77777777" w:rsidR="007B0D15" w:rsidRPr="007B0D15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Gain, maintain and monitor the interest of the listener(s).</w:t>
            </w:r>
          </w:p>
          <w:p w14:paraId="50A98B0B" w14:textId="77777777" w:rsidR="007B0D15" w:rsidRPr="007B0D15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sz w:val="16"/>
                <w:szCs w:val="16"/>
                <w:shd w:val="clear" w:color="auto" w:fill="FAF9F8"/>
              </w:rPr>
            </w:pPr>
            <w:r w:rsidRPr="007B0D15">
              <w:rPr>
                <w:rFonts w:ascii="Arial" w:hAnsi="Arial" w:cs="Arial"/>
                <w:sz w:val="16"/>
                <w:szCs w:val="16"/>
                <w:shd w:val="clear" w:color="auto" w:fill="FAF9F8"/>
              </w:rPr>
              <w:t>Consider and evaluate different viewpoints, attending to and building on the contributions of others.</w:t>
            </w:r>
          </w:p>
          <w:p w14:paraId="47276D7C" w14:textId="13481085" w:rsidR="00791A85" w:rsidRPr="007B0D15" w:rsidRDefault="007B0D15" w:rsidP="007B0D15">
            <w:pPr>
              <w:pStyle w:val="ListParagraph"/>
              <w:numPr>
                <w:ilvl w:val="0"/>
                <w:numId w:val="18"/>
              </w:numPr>
              <w:spacing w:after="0"/>
              <w:ind w:left="459"/>
              <w:rPr>
                <w:rFonts w:ascii="Arial" w:hAnsi="Arial" w:cs="Arial"/>
                <w:b/>
                <w:sz w:val="16"/>
                <w:szCs w:val="16"/>
              </w:rPr>
            </w:pPr>
            <w:r w:rsidRPr="00691BC9">
              <w:rPr>
                <w:rFonts w:ascii="Arial" w:hAnsi="Arial" w:cs="Arial"/>
                <w:sz w:val="16"/>
                <w:szCs w:val="16"/>
                <w:highlight w:val="yellow"/>
                <w:shd w:val="clear" w:color="auto" w:fill="FAF9F8"/>
              </w:rPr>
              <w:t>Select and use appropriate registers for effective communication.</w:t>
            </w:r>
          </w:p>
        </w:tc>
      </w:tr>
      <w:tr w:rsidR="00791A85" w14:paraId="5776F01F" w14:textId="77777777" w:rsidTr="0097337A">
        <w:tc>
          <w:tcPr>
            <w:tcW w:w="15877" w:type="dxa"/>
            <w:gridSpan w:val="3"/>
            <w:shd w:val="clear" w:color="auto" w:fill="FF0000"/>
          </w:tcPr>
          <w:p w14:paraId="3D894DB5" w14:textId="2468DBE1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  <w:r w:rsidRPr="00791A85">
              <w:rPr>
                <w:rFonts w:ascii="Arial" w:hAnsi="Arial" w:cs="Arial"/>
                <w:b/>
              </w:rPr>
              <w:t>Text Suggestions</w:t>
            </w:r>
          </w:p>
        </w:tc>
      </w:tr>
      <w:tr w:rsidR="00791A85" w14:paraId="684FC19D" w14:textId="77777777" w:rsidTr="00F30637">
        <w:tc>
          <w:tcPr>
            <w:tcW w:w="15877" w:type="dxa"/>
            <w:gridSpan w:val="3"/>
          </w:tcPr>
          <w:p w14:paraId="49A3E7CF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3000BA74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26FDCE35" w14:textId="77777777" w:rsidR="00791A85" w:rsidRPr="00791A85" w:rsidRDefault="00791A85" w:rsidP="00791A85">
            <w:pPr>
              <w:jc w:val="center"/>
              <w:rPr>
                <w:rFonts w:ascii="Arial" w:hAnsi="Arial" w:cs="Arial"/>
                <w:b/>
              </w:rPr>
            </w:pPr>
          </w:p>
          <w:p w14:paraId="1F7861E1" w14:textId="77777777" w:rsidR="00791A85" w:rsidRPr="00791A85" w:rsidRDefault="00791A85" w:rsidP="00C90F9D">
            <w:pPr>
              <w:rPr>
                <w:rFonts w:ascii="Arial" w:hAnsi="Arial" w:cs="Arial"/>
                <w:b/>
              </w:rPr>
            </w:pPr>
          </w:p>
        </w:tc>
      </w:tr>
    </w:tbl>
    <w:p w14:paraId="14F650FD" w14:textId="77777777" w:rsidR="00791A85" w:rsidRPr="009F0F3E" w:rsidRDefault="00791A85">
      <w:pPr>
        <w:rPr>
          <w:sz w:val="16"/>
          <w:szCs w:val="16"/>
        </w:rPr>
      </w:pPr>
    </w:p>
    <w:sectPr w:rsidR="00791A85" w:rsidRPr="009F0F3E" w:rsidSect="00D521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325A0"/>
    <w:multiLevelType w:val="hybridMultilevel"/>
    <w:tmpl w:val="38BE1DE8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6FE6"/>
    <w:multiLevelType w:val="hybridMultilevel"/>
    <w:tmpl w:val="B5F0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E7D6E"/>
    <w:multiLevelType w:val="hybridMultilevel"/>
    <w:tmpl w:val="788E56C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BF0BDF"/>
    <w:multiLevelType w:val="hybridMultilevel"/>
    <w:tmpl w:val="470C00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30427"/>
    <w:multiLevelType w:val="hybridMultilevel"/>
    <w:tmpl w:val="9ECEEFE6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26335"/>
    <w:multiLevelType w:val="hybridMultilevel"/>
    <w:tmpl w:val="5936DA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5558D6"/>
    <w:multiLevelType w:val="hybridMultilevel"/>
    <w:tmpl w:val="B172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69105C"/>
    <w:multiLevelType w:val="hybridMultilevel"/>
    <w:tmpl w:val="01D00574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73578"/>
    <w:multiLevelType w:val="hybridMultilevel"/>
    <w:tmpl w:val="F0A8FC0E"/>
    <w:lvl w:ilvl="0" w:tplc="8EC0D30E">
      <w:numFmt w:val="bullet"/>
      <w:lvlText w:val="•"/>
      <w:lvlJc w:val="left"/>
      <w:pPr>
        <w:ind w:left="733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9" w15:restartNumberingAfterBreak="0">
    <w:nsid w:val="4A486BE2"/>
    <w:multiLevelType w:val="hybridMultilevel"/>
    <w:tmpl w:val="0E948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8329DE"/>
    <w:multiLevelType w:val="hybridMultilevel"/>
    <w:tmpl w:val="C246A2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C85D86"/>
    <w:multiLevelType w:val="hybridMultilevel"/>
    <w:tmpl w:val="65FCD3AE"/>
    <w:lvl w:ilvl="0" w:tplc="8EC0D30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81041A"/>
    <w:multiLevelType w:val="hybridMultilevel"/>
    <w:tmpl w:val="200EFD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05A4E"/>
    <w:multiLevelType w:val="hybridMultilevel"/>
    <w:tmpl w:val="46F69C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E07137"/>
    <w:multiLevelType w:val="hybridMultilevel"/>
    <w:tmpl w:val="13DE8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E35646"/>
    <w:multiLevelType w:val="hybridMultilevel"/>
    <w:tmpl w:val="DA7EC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71488"/>
    <w:multiLevelType w:val="hybridMultilevel"/>
    <w:tmpl w:val="C2363B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9B0F14"/>
    <w:multiLevelType w:val="hybridMultilevel"/>
    <w:tmpl w:val="8D206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081CE2"/>
    <w:multiLevelType w:val="hybridMultilevel"/>
    <w:tmpl w:val="D37491E4"/>
    <w:lvl w:ilvl="0" w:tplc="3CC26C40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3"/>
  </w:num>
  <w:num w:numId="3">
    <w:abstractNumId w:val="18"/>
  </w:num>
  <w:num w:numId="4">
    <w:abstractNumId w:val="5"/>
  </w:num>
  <w:num w:numId="5">
    <w:abstractNumId w:val="7"/>
  </w:num>
  <w:num w:numId="6">
    <w:abstractNumId w:val="8"/>
  </w:num>
  <w:num w:numId="7">
    <w:abstractNumId w:val="11"/>
  </w:num>
  <w:num w:numId="8">
    <w:abstractNumId w:val="4"/>
  </w:num>
  <w:num w:numId="9">
    <w:abstractNumId w:val="0"/>
  </w:num>
  <w:num w:numId="10">
    <w:abstractNumId w:val="2"/>
  </w:num>
  <w:num w:numId="11">
    <w:abstractNumId w:val="15"/>
  </w:num>
  <w:num w:numId="12">
    <w:abstractNumId w:val="16"/>
  </w:num>
  <w:num w:numId="13">
    <w:abstractNumId w:val="10"/>
  </w:num>
  <w:num w:numId="14">
    <w:abstractNumId w:val="1"/>
  </w:num>
  <w:num w:numId="15">
    <w:abstractNumId w:val="6"/>
  </w:num>
  <w:num w:numId="16">
    <w:abstractNumId w:val="17"/>
  </w:num>
  <w:num w:numId="17">
    <w:abstractNumId w:val="12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B3"/>
    <w:rsid w:val="000216D3"/>
    <w:rsid w:val="001F3F59"/>
    <w:rsid w:val="002831D7"/>
    <w:rsid w:val="002A620B"/>
    <w:rsid w:val="00333A6F"/>
    <w:rsid w:val="00367EF6"/>
    <w:rsid w:val="0055325C"/>
    <w:rsid w:val="00691BC9"/>
    <w:rsid w:val="00791A85"/>
    <w:rsid w:val="007B0D15"/>
    <w:rsid w:val="00911085"/>
    <w:rsid w:val="009665FF"/>
    <w:rsid w:val="0097337A"/>
    <w:rsid w:val="009F0EA5"/>
    <w:rsid w:val="009F0F3E"/>
    <w:rsid w:val="00A2005B"/>
    <w:rsid w:val="00C129E4"/>
    <w:rsid w:val="00C90F9D"/>
    <w:rsid w:val="00CC6DF9"/>
    <w:rsid w:val="00D521B3"/>
    <w:rsid w:val="00EE714D"/>
    <w:rsid w:val="00F31238"/>
    <w:rsid w:val="00F4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4A2D9"/>
  <w15:docId w15:val="{011558A3-A197-4FE8-8DF8-DA03CBE1E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B3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521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52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1B3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2A62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90682516</Template>
  <TotalTime>1</TotalTime>
  <Pages>2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CTaylor</dc:creator>
  <cp:lastModifiedBy>Alison Grantham</cp:lastModifiedBy>
  <cp:revision>2</cp:revision>
  <cp:lastPrinted>2020-09-04T09:45:00Z</cp:lastPrinted>
  <dcterms:created xsi:type="dcterms:W3CDTF">2021-01-08T17:22:00Z</dcterms:created>
  <dcterms:modified xsi:type="dcterms:W3CDTF">2021-01-08T17:22:00Z</dcterms:modified>
</cp:coreProperties>
</file>